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宋体" w:hAnsi="宋体" w:cs="宋体"/>
          <w:sz w:val="32"/>
          <w:szCs w:val="22"/>
        </w:rPr>
      </w:pPr>
      <w:r>
        <w:rPr>
          <w:rFonts w:hint="eastAsia" w:ascii="宋体" w:hAnsi="宋体" w:cs="宋体"/>
          <w:sz w:val="32"/>
          <w:szCs w:val="22"/>
        </w:rPr>
        <w:t>附件6</w:t>
      </w:r>
    </w:p>
    <w:p>
      <w:pPr>
        <w:adjustRightInd w:val="0"/>
        <w:snapToGrid w:val="0"/>
        <w:spacing w:line="360" w:lineRule="auto"/>
        <w:ind w:right="206" w:rightChars="98"/>
        <w:jc w:val="center"/>
        <w:rPr>
          <w:rFonts w:ascii="仿宋_GB2312" w:hAnsi="宋体" w:eastAsia="仿宋_GB2312"/>
          <w:b/>
          <w:sz w:val="24"/>
          <w:szCs w:val="24"/>
        </w:rPr>
      </w:pPr>
      <w:bookmarkStart w:id="0" w:name="_GoBack"/>
      <w:r>
        <w:rPr>
          <w:rFonts w:hint="eastAsia" w:ascii="宋体" w:hAnsi="宋体" w:cs="宋体"/>
          <w:b/>
          <w:sz w:val="32"/>
          <w:szCs w:val="22"/>
        </w:rPr>
        <w:t>2022年度建筑装饰行业信用评价参评名单（浙江）</w:t>
      </w:r>
    </w:p>
    <w:bookmarkEnd w:id="0"/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szCs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20</w:t>
      </w:r>
      <w:r>
        <w:rPr>
          <w:rFonts w:ascii="仿宋_GB2312" w:hAnsi="宋体" w:eastAsia="仿宋_GB2312"/>
          <w:b/>
          <w:sz w:val="24"/>
          <w:szCs w:val="24"/>
        </w:rPr>
        <w:t>22</w:t>
      </w:r>
      <w:r>
        <w:rPr>
          <w:rFonts w:hint="eastAsia" w:ascii="仿宋_GB2312" w:hAnsi="宋体" w:eastAsia="仿宋_GB2312"/>
          <w:b/>
          <w:sz w:val="24"/>
          <w:szCs w:val="24"/>
        </w:rPr>
        <w:t>年度上半年</w:t>
      </w:r>
      <w:r>
        <w:rPr>
          <w:rFonts w:hint="eastAsia" w:ascii="仿宋_GB2312" w:hAnsi="宋体" w:eastAsia="仿宋_GB2312"/>
          <w:b/>
          <w:color w:val="FF0000"/>
          <w:sz w:val="24"/>
          <w:szCs w:val="24"/>
        </w:rPr>
        <w:t>重新申报</w:t>
      </w:r>
      <w:r>
        <w:rPr>
          <w:rFonts w:hint="eastAsia" w:ascii="仿宋_GB2312" w:hAnsi="宋体" w:eastAsia="仿宋_GB2312"/>
          <w:sz w:val="24"/>
          <w:szCs w:val="24"/>
        </w:rPr>
        <w:t>企业名单如下，共</w:t>
      </w:r>
      <w:r>
        <w:rPr>
          <w:rFonts w:ascii="仿宋_GB2312" w:hAnsi="宋体" w:eastAsia="仿宋_GB2312"/>
          <w:b/>
          <w:bCs/>
          <w:sz w:val="24"/>
          <w:szCs w:val="24"/>
        </w:rPr>
        <w:t>24</w:t>
      </w:r>
      <w:r>
        <w:rPr>
          <w:rFonts w:hint="eastAsia" w:ascii="仿宋_GB2312" w:hAnsi="宋体" w:eastAsia="仿宋_GB2312"/>
          <w:sz w:val="24"/>
          <w:szCs w:val="24"/>
        </w:rPr>
        <w:t>家（</w:t>
      </w:r>
      <w:r>
        <w:rPr>
          <w:rFonts w:hint="eastAsia" w:ascii="仿宋_GB2312" w:hAnsi="宋体" w:eastAsia="仿宋_GB2312"/>
          <w:color w:val="FF0000"/>
          <w:sz w:val="24"/>
          <w:szCs w:val="24"/>
        </w:rPr>
        <w:t>5月底截止</w:t>
      </w:r>
      <w:r>
        <w:rPr>
          <w:rFonts w:hint="eastAsia" w:ascii="仿宋_GB2312" w:hAnsi="宋体" w:eastAsia="仿宋_GB2312"/>
          <w:sz w:val="24"/>
          <w:szCs w:val="24"/>
        </w:rPr>
        <w:t>）：</w:t>
      </w: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建筑幕墙企业：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中设建工集团有限公司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浙江高明幕墙装潢有限公司</w:t>
      </w: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b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pgNumType w:fmt="decimal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建筑装饰施工企业：</w:t>
      </w:r>
    </w:p>
    <w:p>
      <w:pPr>
        <w:adjustRightInd w:val="0"/>
        <w:snapToGrid w:val="0"/>
        <w:spacing w:line="360" w:lineRule="auto"/>
        <w:jc w:val="left"/>
        <w:rPr>
          <w:rFonts w:ascii="仿宋_GB2312" w:hAnsi="宋体" w:eastAsia="仿宋_GB2312"/>
          <w:b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辉迈建设集团有限公司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浙江省一建建设集团有限公司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浙江省三建建设集团有限公司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浙江凯厦装饰工程有限公司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浙江屹立建设有限公司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浙江丽佳建筑装饰工程有限公司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浙江东晟建设工程有限公司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浙江新天建筑装饰有限公司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湖州大秦建筑装饰工程有限公司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浙江富海建筑装饰工程股份有限公司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浙江广居装饰有限公司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浙江福田建筑装饰工程有限公司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中雅建设（浙江湖州）有限公司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嘉兴新宇装饰工程有限公司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浙江硕博建设有限责任公司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浙江金鼎建筑装饰工程有限公司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华煜建设集团有限公司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温州恒舟装饰有限公司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纵达控股有限公司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浙江乔兴建设集团有限公司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温州市天马建筑装璜工程公司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right="206" w:rightChars="98"/>
        <w:rPr>
          <w:rFonts w:ascii="宋体" w:hAnsi="宋体"/>
          <w:b/>
          <w:sz w:val="22"/>
          <w:szCs w:val="22"/>
          <w:u w:val="thick" w:color="FF0000"/>
        </w:rPr>
      </w:pPr>
      <w:r>
        <w:rPr>
          <w:rFonts w:hint="eastAsia" w:ascii="宋体" w:hAnsi="宋体" w:cs="宋体"/>
          <w:sz w:val="22"/>
          <w:szCs w:val="22"/>
        </w:rPr>
        <w:t>杭州金顺建设有限公司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szCs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pgNumType w:fmt="decimal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szCs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b/>
          <w:sz w:val="24"/>
          <w:szCs w:val="24"/>
          <w:u w:val="thick" w:color="FF0000"/>
        </w:rPr>
        <w:t>2022</w:t>
      </w:r>
      <w:r>
        <w:rPr>
          <w:rFonts w:hint="eastAsia" w:ascii="仿宋_GB2312" w:hAnsi="宋体" w:eastAsia="仿宋_GB2312"/>
          <w:b/>
          <w:sz w:val="24"/>
          <w:szCs w:val="24"/>
          <w:u w:val="thick" w:color="FF0000"/>
        </w:rPr>
        <w:t>年度上半年</w:t>
      </w:r>
      <w:r>
        <w:rPr>
          <w:rFonts w:hint="eastAsia" w:ascii="仿宋_GB2312" w:hAnsi="宋体" w:eastAsia="仿宋_GB2312"/>
          <w:b/>
          <w:sz w:val="24"/>
          <w:szCs w:val="24"/>
        </w:rPr>
        <w:t>年度</w:t>
      </w:r>
      <w:r>
        <w:rPr>
          <w:rFonts w:hint="eastAsia" w:ascii="仿宋_GB2312" w:hAnsi="宋体" w:eastAsia="仿宋_GB2312"/>
          <w:b/>
          <w:color w:val="FF0000"/>
          <w:sz w:val="24"/>
          <w:szCs w:val="24"/>
        </w:rPr>
        <w:t>复评</w:t>
      </w:r>
      <w:r>
        <w:rPr>
          <w:rFonts w:hint="eastAsia" w:ascii="仿宋_GB2312" w:hAnsi="宋体" w:eastAsia="仿宋_GB2312"/>
          <w:sz w:val="24"/>
          <w:szCs w:val="24"/>
        </w:rPr>
        <w:t>企业名单如下，共</w:t>
      </w:r>
      <w:r>
        <w:rPr>
          <w:rFonts w:ascii="仿宋_GB2312" w:hAnsi="宋体" w:eastAsia="仿宋_GB2312"/>
          <w:b/>
          <w:sz w:val="24"/>
          <w:szCs w:val="24"/>
        </w:rPr>
        <w:t>60</w:t>
      </w:r>
      <w:r>
        <w:rPr>
          <w:rFonts w:hint="eastAsia" w:ascii="仿宋_GB2312" w:hAnsi="宋体" w:eastAsia="仿宋_GB2312"/>
          <w:sz w:val="24"/>
          <w:szCs w:val="24"/>
        </w:rPr>
        <w:t>家（</w:t>
      </w:r>
      <w:r>
        <w:rPr>
          <w:rFonts w:hint="eastAsia" w:ascii="仿宋_GB2312" w:hAnsi="宋体" w:eastAsia="仿宋_GB2312"/>
          <w:color w:val="FF0000"/>
          <w:sz w:val="24"/>
          <w:szCs w:val="24"/>
        </w:rPr>
        <w:t>5月底截止</w:t>
      </w:r>
      <w:r>
        <w:rPr>
          <w:rFonts w:hint="eastAsia" w:ascii="仿宋_GB2312" w:hAnsi="宋体" w:eastAsia="仿宋_GB2312"/>
          <w:sz w:val="24"/>
          <w:szCs w:val="24"/>
        </w:rPr>
        <w:t>）：</w:t>
      </w: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设计单位：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杭州正野装饰设计有限公司</w:t>
      </w: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家装企业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九鼎建筑装饰工程有限公司</w:t>
      </w: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建筑幕墙企业：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  <w:sectPr>
          <w:type w:val="continuous"/>
          <w:pgSz w:w="11906" w:h="16838"/>
          <w:pgMar w:top="2438" w:right="1418" w:bottom="1871" w:left="1418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浙江中天方圆幕墙有限公司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浙江互创建筑工程有限公司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宁波建工建乐工程有限公司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浙江亚厦幕墙有限公司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浙江宝业幕墙装饰有限公司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浙江南方建设工程有限公司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浙江大自然建设有限公司</w:t>
      </w: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b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pgNumType w:fmt="decimal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建筑装饰施工企业：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浙江大东吴集团建设有限公司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浙江宏厦建设有限公司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浙江省建工集团有限责任公司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百合盛华建筑科技有限公司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浙江鸿翔建设集团股份有限公司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浙江三石建设有限公司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浙江新中环建设有限公司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浙江万鑫装饰工程有限公司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浙江万邦建筑装饰工程有限公司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浙江腾泰建设有限公司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浙江嘉华建设有限公司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浙江艺美建筑装饰工程有限公司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浙江天工装饰工程有限公司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浙江艺峰装饰工程有限公司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金元大建设控股有限公司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浙江省装饰有限公司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浙江立高建筑装饰工程有限公司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浙江环影装饰工程有限公司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浙江银洲装饰工程有限公司（A</w:t>
      </w:r>
      <w:r>
        <w:rPr>
          <w:rFonts w:ascii="宋体" w:hAnsi="宋体" w:cs="宋体"/>
          <w:sz w:val="22"/>
          <w:szCs w:val="22"/>
        </w:rPr>
        <w:t>A</w:t>
      </w:r>
      <w:r>
        <w:rPr>
          <w:rFonts w:hint="eastAsia" w:ascii="宋体" w:hAnsi="宋体" w:cs="宋体"/>
          <w:sz w:val="22"/>
          <w:szCs w:val="22"/>
        </w:rPr>
        <w:t>）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浙江云艺装饰有限公司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浙江广艺建筑装饰工程有限公司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浙江华尔达建设有限公司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浙江中天精诚装饰集团有限公司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浙江正华装饰设计工程有限公司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浙江中南建设集团有限公司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龙邦建设股份有限公司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浙江圣夏装饰设计工程有限公司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绿城装饰工程集团有限公司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鸿顺达控股有限公司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浙江中工联合工程有限公司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浙江宏恩装饰工程有限公司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杭州铭成装饰工程有限公司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浙江佳汇建筑装饰有限公司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浙江视野建设集团有限公司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浙江东来建设集团有限公司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浙江广成装饰工程有限公司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浙江悦容建设集团有限公司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浙江梦怡建筑装饰有限公司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浙江万川装饰设计工程有限公司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浙江大丰建筑装饰工程有限公司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三方建设集团有限公司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杭州圣大控股有限公司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浙江森海建设有限公司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杭州观澜建筑装饰工程有限公司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浙江天绘建筑装饰有限公司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浙江振杰建设有限公司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杭州通达集团有限公司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浙江东鹰装饰工程有限公司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浙江汉斯建筑装饰工程有限公司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浙江宇翔建筑装饰工程有限公司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温州乐豪建设有限公司</w:t>
      </w:r>
    </w:p>
    <w:p>
      <w:pPr>
        <w:adjustRightInd w:val="0"/>
        <w:snapToGrid w:val="0"/>
        <w:spacing w:line="360" w:lineRule="auto"/>
        <w:ind w:right="206" w:rightChars="98"/>
        <w:rPr>
          <w:rFonts w:ascii="宋体" w:hAnsi="宋体"/>
          <w:b/>
          <w:sz w:val="22"/>
          <w:szCs w:val="22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szCs w:val="24"/>
          <w:u w:val="thick" w:color="FF0000"/>
        </w:rPr>
        <w:sectPr>
          <w:type w:val="continuous"/>
          <w:pgSz w:w="11906" w:h="16838"/>
          <w:pgMar w:top="1418" w:right="1418" w:bottom="1418" w:left="1418" w:header="851" w:footer="992" w:gutter="0"/>
          <w:pgNumType w:fmt="decimal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b/>
          <w:sz w:val="24"/>
          <w:szCs w:val="24"/>
        </w:rPr>
        <w:t>2022</w:t>
      </w:r>
      <w:r>
        <w:rPr>
          <w:rFonts w:hint="eastAsia" w:ascii="仿宋_GB2312" w:hAnsi="宋体" w:eastAsia="仿宋_GB2312"/>
          <w:b/>
          <w:sz w:val="24"/>
          <w:szCs w:val="24"/>
        </w:rPr>
        <w:t>年度下半年</w:t>
      </w:r>
      <w:r>
        <w:rPr>
          <w:rFonts w:hint="eastAsia" w:ascii="仿宋_GB2312" w:hAnsi="宋体" w:eastAsia="仿宋_GB2312"/>
          <w:b/>
          <w:color w:val="FF0000"/>
          <w:sz w:val="24"/>
          <w:szCs w:val="24"/>
        </w:rPr>
        <w:t>重新申报</w:t>
      </w:r>
      <w:r>
        <w:rPr>
          <w:rFonts w:hint="eastAsia" w:ascii="仿宋_GB2312" w:hAnsi="宋体" w:eastAsia="仿宋_GB2312"/>
          <w:sz w:val="24"/>
          <w:szCs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szCs w:val="24"/>
        </w:rPr>
        <w:t>7</w:t>
      </w:r>
      <w:r>
        <w:rPr>
          <w:rFonts w:hint="eastAsia" w:ascii="仿宋_GB2312" w:hAnsi="宋体" w:eastAsia="仿宋_GB2312"/>
          <w:sz w:val="24"/>
          <w:szCs w:val="24"/>
        </w:rPr>
        <w:t>家（</w:t>
      </w:r>
      <w:r>
        <w:rPr>
          <w:rFonts w:hint="eastAsia" w:ascii="仿宋_GB2312" w:hAnsi="宋体" w:eastAsia="仿宋_GB2312"/>
          <w:color w:val="FF0000"/>
          <w:sz w:val="24"/>
          <w:szCs w:val="24"/>
        </w:rPr>
        <w:t>9月底截止</w:t>
      </w:r>
      <w:r>
        <w:rPr>
          <w:rFonts w:hint="eastAsia" w:ascii="仿宋_GB2312" w:hAnsi="宋体" w:eastAsia="仿宋_GB2312"/>
          <w:sz w:val="24"/>
          <w:szCs w:val="24"/>
        </w:rPr>
        <w:t>）：</w:t>
      </w: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建筑幕墙企业：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浙江金鹭集团装饰有限公司</w:t>
      </w: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建筑装饰施工企业：</w:t>
      </w:r>
    </w:p>
    <w:p>
      <w:pPr>
        <w:adjustRightInd w:val="0"/>
        <w:snapToGrid w:val="0"/>
        <w:spacing w:line="360" w:lineRule="auto"/>
        <w:ind w:right="206" w:rightChars="98" w:firstLine="435"/>
        <w:rPr>
          <w:rFonts w:ascii="仿宋_GB2312" w:hAnsi="宋体" w:eastAsia="仿宋_GB2312"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numPr>
          <w:ilvl w:val="0"/>
          <w:numId w:val="5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浙江青川装饰集团有限公司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海峡创新互联网股份有限公司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浙江瑞基建设集团有限公司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浙江浩天建设集团有限公司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right="206" w:rightChars="98"/>
        <w:rPr>
          <w:rFonts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浙江升浙建设集团有限公司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right="206" w:rightChars="98"/>
        <w:rPr>
          <w:rFonts w:ascii="宋体" w:hAnsi="宋体"/>
          <w:b/>
          <w:sz w:val="22"/>
          <w:szCs w:val="22"/>
          <w:u w:val="thick" w:color="FF0000"/>
        </w:rPr>
      </w:pPr>
      <w:r>
        <w:rPr>
          <w:rFonts w:hint="eastAsia" w:ascii="宋体" w:hAnsi="宋体" w:cs="宋体"/>
          <w:sz w:val="22"/>
          <w:szCs w:val="22"/>
        </w:rPr>
        <w:t>浙江卓成智能科技有限公司</w:t>
      </w: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szCs w:val="24"/>
          <w:u w:val="thick" w:color="FF0000"/>
        </w:rPr>
        <w:sectPr>
          <w:type w:val="continuous"/>
          <w:pgSz w:w="11906" w:h="16838"/>
          <w:pgMar w:top="2438" w:right="1418" w:bottom="1871" w:left="1418" w:header="851" w:footer="992" w:gutter="0"/>
          <w:pgNumType w:fmt="decimal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b/>
          <w:sz w:val="24"/>
          <w:szCs w:val="24"/>
          <w:u w:val="thick" w:color="FF0000"/>
        </w:rPr>
      </w:pPr>
    </w:p>
    <w:p>
      <w:pPr>
        <w:adjustRightInd w:val="0"/>
        <w:snapToGrid w:val="0"/>
        <w:spacing w:line="360" w:lineRule="auto"/>
        <w:ind w:right="206" w:rightChars="98" w:firstLine="482" w:firstLineChars="200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b/>
          <w:sz w:val="24"/>
          <w:szCs w:val="24"/>
        </w:rPr>
        <w:t>2022</w:t>
      </w:r>
      <w:r>
        <w:rPr>
          <w:rFonts w:hint="eastAsia" w:ascii="仿宋_GB2312" w:hAnsi="宋体" w:eastAsia="仿宋_GB2312"/>
          <w:b/>
          <w:sz w:val="24"/>
          <w:szCs w:val="24"/>
        </w:rPr>
        <w:t>年度下半年年度</w:t>
      </w:r>
      <w:r>
        <w:rPr>
          <w:rFonts w:hint="eastAsia" w:ascii="仿宋_GB2312" w:hAnsi="宋体" w:eastAsia="仿宋_GB2312"/>
          <w:b/>
          <w:color w:val="FF0000"/>
          <w:sz w:val="24"/>
          <w:szCs w:val="24"/>
        </w:rPr>
        <w:t>复评</w:t>
      </w:r>
      <w:r>
        <w:rPr>
          <w:rFonts w:hint="eastAsia" w:ascii="仿宋_GB2312" w:hAnsi="宋体" w:eastAsia="仿宋_GB2312"/>
          <w:sz w:val="24"/>
          <w:szCs w:val="24"/>
        </w:rPr>
        <w:t>企业名单如下，共</w:t>
      </w:r>
      <w:r>
        <w:rPr>
          <w:rFonts w:hint="eastAsia" w:ascii="仿宋_GB2312" w:hAnsi="宋体" w:eastAsia="仿宋_GB2312"/>
          <w:b/>
          <w:sz w:val="24"/>
          <w:szCs w:val="24"/>
        </w:rPr>
        <w:t>2</w:t>
      </w:r>
      <w:r>
        <w:rPr>
          <w:rFonts w:ascii="仿宋_GB2312" w:hAnsi="宋体" w:eastAsia="仿宋_GB2312"/>
          <w:b/>
          <w:sz w:val="24"/>
          <w:szCs w:val="24"/>
        </w:rPr>
        <w:t>0</w:t>
      </w:r>
      <w:r>
        <w:rPr>
          <w:rFonts w:hint="eastAsia" w:ascii="仿宋_GB2312" w:hAnsi="宋体" w:eastAsia="仿宋_GB2312"/>
          <w:sz w:val="24"/>
          <w:szCs w:val="24"/>
        </w:rPr>
        <w:t>家（</w:t>
      </w:r>
      <w:r>
        <w:rPr>
          <w:rFonts w:hint="eastAsia" w:ascii="仿宋_GB2312" w:hAnsi="宋体" w:eastAsia="仿宋_GB2312"/>
          <w:color w:val="FF0000"/>
          <w:sz w:val="24"/>
          <w:szCs w:val="24"/>
        </w:rPr>
        <w:t>9月底截止</w:t>
      </w:r>
      <w:r>
        <w:rPr>
          <w:rFonts w:hint="eastAsia" w:ascii="仿宋_GB2312" w:hAnsi="宋体" w:eastAsia="仿宋_GB2312"/>
          <w:sz w:val="24"/>
          <w:szCs w:val="24"/>
        </w:rPr>
        <w:t>）：</w:t>
      </w: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建筑幕墙企业：</w:t>
      </w:r>
    </w:p>
    <w:p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/>
        <w:jc w:val="left"/>
        <w:rPr>
          <w:rFonts w:ascii="宋体" w:hAnsi="宋体" w:cs="宋体"/>
          <w:bCs/>
          <w:sz w:val="22"/>
          <w:szCs w:val="22"/>
        </w:rPr>
        <w:sectPr>
          <w:type w:val="continuous"/>
          <w:pgSz w:w="11906" w:h="16838"/>
          <w:pgMar w:top="1418" w:right="1418" w:bottom="1418" w:left="1418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hint="eastAsia" w:ascii="宋体" w:hAnsi="宋体" w:cs="宋体"/>
          <w:bCs/>
          <w:sz w:val="22"/>
          <w:szCs w:val="22"/>
        </w:rPr>
        <w:t>浙江省武林建筑装饰集团有限公司</w:t>
      </w:r>
    </w:p>
    <w:p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hint="eastAsia" w:ascii="宋体" w:hAnsi="宋体" w:cs="宋体"/>
          <w:bCs/>
          <w:sz w:val="22"/>
          <w:szCs w:val="22"/>
        </w:rPr>
        <w:t>浙江解放建设有限公司</w:t>
      </w:r>
    </w:p>
    <w:p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hint="eastAsia" w:ascii="宋体" w:hAnsi="宋体" w:cs="宋体"/>
          <w:bCs/>
          <w:sz w:val="22"/>
          <w:szCs w:val="22"/>
        </w:rPr>
        <w:t>浙江宝龙建设有限公司</w:t>
      </w:r>
    </w:p>
    <w:p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hint="eastAsia" w:ascii="宋体" w:hAnsi="宋体" w:cs="宋体"/>
          <w:bCs/>
          <w:sz w:val="22"/>
          <w:szCs w:val="22"/>
        </w:rPr>
        <w:t>浙江建工幕墙装饰有限公司</w:t>
      </w:r>
    </w:p>
    <w:p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hint="eastAsia" w:ascii="宋体" w:hAnsi="宋体" w:cs="宋体"/>
          <w:bCs/>
          <w:sz w:val="22"/>
          <w:szCs w:val="22"/>
        </w:rPr>
        <w:t>浙江中特幕墙工程有限公司</w:t>
      </w: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b/>
          <w:sz w:val="24"/>
          <w:szCs w:val="24"/>
        </w:rPr>
        <w:sectPr>
          <w:type w:val="continuous"/>
          <w:pgSz w:w="11906" w:h="16838"/>
          <w:pgMar w:top="2438" w:right="1418" w:bottom="1871" w:left="1418" w:header="851" w:footer="992" w:gutter="0"/>
          <w:pgNumType w:fmt="decimal"/>
          <w:cols w:space="425" w:num="2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right="206" w:rightChars="98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建筑装饰施工企业：</w:t>
      </w:r>
    </w:p>
    <w:p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/>
        <w:jc w:val="left"/>
        <w:rPr>
          <w:rFonts w:ascii="宋体" w:hAnsi="宋体" w:cs="宋体"/>
          <w:bCs/>
          <w:sz w:val="22"/>
          <w:szCs w:val="22"/>
        </w:rPr>
        <w:sectPr>
          <w:type w:val="continuous"/>
          <w:pgSz w:w="11906" w:h="16838"/>
          <w:pgMar w:top="2438" w:right="1418" w:bottom="1871" w:left="1418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hint="eastAsia" w:ascii="宋体" w:hAnsi="宋体" w:cs="宋体"/>
          <w:bCs/>
          <w:sz w:val="22"/>
          <w:szCs w:val="22"/>
        </w:rPr>
        <w:t>浙江亚厦装饰股份有限公司</w:t>
      </w:r>
    </w:p>
    <w:p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hint="eastAsia" w:ascii="宋体" w:hAnsi="宋体" w:cs="宋体"/>
          <w:bCs/>
          <w:sz w:val="22"/>
          <w:szCs w:val="22"/>
        </w:rPr>
        <w:t>浙江深美装饰工程有限公司</w:t>
      </w:r>
    </w:p>
    <w:p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hint="eastAsia" w:ascii="宋体" w:hAnsi="宋体" w:cs="宋体"/>
          <w:bCs/>
          <w:sz w:val="22"/>
          <w:szCs w:val="22"/>
        </w:rPr>
        <w:t>平安建设集团有限公司</w:t>
      </w:r>
    </w:p>
    <w:p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hint="eastAsia" w:ascii="宋体" w:hAnsi="宋体" w:cs="宋体"/>
          <w:bCs/>
          <w:sz w:val="22"/>
          <w:szCs w:val="22"/>
        </w:rPr>
        <w:t>浙江年代建设工程有限公司</w:t>
      </w:r>
    </w:p>
    <w:p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hint="eastAsia" w:ascii="宋体" w:hAnsi="宋体" w:cs="宋体"/>
          <w:bCs/>
          <w:sz w:val="22"/>
          <w:szCs w:val="22"/>
        </w:rPr>
        <w:t>浙江世贸装饰股份有限公司</w:t>
      </w:r>
    </w:p>
    <w:p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hint="eastAsia" w:ascii="宋体" w:hAnsi="宋体" w:cs="宋体"/>
          <w:bCs/>
          <w:sz w:val="22"/>
          <w:szCs w:val="22"/>
        </w:rPr>
        <w:t>浙江万邦智能科技股份有限公司</w:t>
      </w:r>
    </w:p>
    <w:p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hint="eastAsia" w:ascii="宋体" w:hAnsi="宋体" w:cs="宋体"/>
          <w:bCs/>
          <w:sz w:val="22"/>
          <w:szCs w:val="22"/>
        </w:rPr>
        <w:t>浙江恒昇建筑装饰工程有限责任公司</w:t>
      </w:r>
    </w:p>
    <w:p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hint="eastAsia" w:ascii="宋体" w:hAnsi="宋体" w:cs="宋体"/>
          <w:bCs/>
          <w:sz w:val="22"/>
          <w:szCs w:val="22"/>
        </w:rPr>
        <w:t>浙江经典建筑装饰有限公司</w:t>
      </w:r>
    </w:p>
    <w:p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hint="eastAsia" w:ascii="宋体" w:hAnsi="宋体" w:cs="宋体"/>
          <w:bCs/>
          <w:sz w:val="22"/>
          <w:szCs w:val="22"/>
        </w:rPr>
        <w:t>浙江银建装饰工程有限公司</w:t>
      </w:r>
    </w:p>
    <w:p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hint="eastAsia" w:ascii="宋体" w:hAnsi="宋体" w:cs="宋体"/>
          <w:bCs/>
          <w:sz w:val="22"/>
          <w:szCs w:val="22"/>
        </w:rPr>
        <w:t>温州金来建设有限公司</w:t>
      </w:r>
    </w:p>
    <w:p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hint="eastAsia" w:ascii="宋体" w:hAnsi="宋体" w:cs="宋体"/>
          <w:bCs/>
          <w:sz w:val="22"/>
          <w:szCs w:val="22"/>
        </w:rPr>
        <w:t>港立建设（浙江）有限公司</w:t>
      </w:r>
    </w:p>
    <w:p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hint="eastAsia" w:ascii="宋体" w:hAnsi="宋体" w:cs="宋体"/>
          <w:bCs/>
          <w:sz w:val="22"/>
          <w:szCs w:val="22"/>
        </w:rPr>
        <w:t>浙江湖建装饰工程有限公司</w:t>
      </w:r>
    </w:p>
    <w:p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hint="eastAsia" w:ascii="宋体" w:hAnsi="宋体" w:cs="宋体"/>
          <w:bCs/>
          <w:sz w:val="22"/>
          <w:szCs w:val="22"/>
        </w:rPr>
        <w:t>浙江新概念装饰设计工程有限公司</w:t>
      </w:r>
    </w:p>
    <w:p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hint="eastAsia" w:ascii="宋体" w:hAnsi="宋体" w:cs="宋体"/>
          <w:bCs/>
          <w:sz w:val="22"/>
          <w:szCs w:val="22"/>
        </w:rPr>
        <w:t>浙江金辰建设有限公司</w:t>
      </w:r>
    </w:p>
    <w:p>
      <w:pPr>
        <w:widowControl/>
        <w:numPr>
          <w:ilvl w:val="0"/>
          <w:numId w:val="6"/>
        </w:numPr>
        <w:adjustRightInd w:val="0"/>
        <w:snapToGrid w:val="0"/>
        <w:spacing w:line="360" w:lineRule="auto"/>
        <w:ind w:right="206" w:rightChars="98"/>
        <w:jc w:val="left"/>
        <w:rPr>
          <w:rFonts w:ascii="宋体" w:hAnsi="宋体" w:cs="宋体"/>
          <w:bCs/>
          <w:sz w:val="22"/>
          <w:szCs w:val="22"/>
        </w:rPr>
        <w:sectPr>
          <w:type w:val="continuous"/>
          <w:pgSz w:w="11906" w:h="16838"/>
          <w:pgMar w:top="2438" w:right="1418" w:bottom="1871" w:left="1418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bCs/>
          <w:sz w:val="22"/>
          <w:szCs w:val="22"/>
        </w:rPr>
        <w:t>子城联合建设集团有限公司</w:t>
      </w:r>
    </w:p>
    <w:p>
      <w:pPr>
        <w:widowControl/>
        <w:adjustRightInd w:val="0"/>
        <w:snapToGrid w:val="0"/>
        <w:spacing w:line="360" w:lineRule="auto"/>
        <w:ind w:right="206" w:rightChars="98"/>
        <w:jc w:val="left"/>
        <w:rPr>
          <w:rFonts w:ascii="宋体" w:hAnsi="宋体" w:cs="宋体"/>
          <w:bCs/>
          <w:sz w:val="22"/>
          <w:szCs w:val="22"/>
        </w:rPr>
      </w:pPr>
    </w:p>
    <w:sectPr>
      <w:footerReference r:id="rId4" w:type="default"/>
      <w:pgSz w:w="11906" w:h="16838"/>
      <w:pgMar w:top="1803" w:right="1440" w:bottom="1803" w:left="144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right" w:pos="9026"/>
        <w:tab w:val="clear" w:pos="4153"/>
      </w:tabs>
    </w:pPr>
    <w:r>
      <w:rPr>
        <w:rFonts w:hint="eastAsia"/>
      </w:rPr>
      <w:tab/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667D65"/>
    <w:multiLevelType w:val="multilevel"/>
    <w:tmpl w:val="0B667D6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6D5662"/>
    <w:multiLevelType w:val="multilevel"/>
    <w:tmpl w:val="446D5662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8D4441"/>
    <w:multiLevelType w:val="multilevel"/>
    <w:tmpl w:val="608D4441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ED12F5"/>
    <w:multiLevelType w:val="multilevel"/>
    <w:tmpl w:val="64ED12F5"/>
    <w:lvl w:ilvl="0" w:tentative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EA2025"/>
    <w:multiLevelType w:val="multilevel"/>
    <w:tmpl w:val="6CEA2025"/>
    <w:lvl w:ilvl="0" w:tentative="0">
      <w:start w:val="1"/>
      <w:numFmt w:val="none"/>
      <w:pStyle w:val="50"/>
      <w:suff w:val="nothing"/>
      <w:lvlText w:val="%1"/>
      <w:lvlJc w:val="left"/>
      <w:rPr>
        <w:rFonts w:hint="default" w:ascii="Times New Roman" w:hAnsi="Times New Roman"/>
        <w:b/>
        <w:bCs/>
        <w:i w:val="0"/>
        <w:iCs w:val="0"/>
        <w:sz w:val="21"/>
        <w:szCs w:val="21"/>
      </w:rPr>
    </w:lvl>
    <w:lvl w:ilvl="1" w:tentative="0">
      <w:start w:val="1"/>
      <w:numFmt w:val="decimal"/>
      <w:pStyle w:val="51"/>
      <w:suff w:val="nothing"/>
      <w:lvlText w:val="%1%2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2" w:tentative="0">
      <w:start w:val="1"/>
      <w:numFmt w:val="decimal"/>
      <w:pStyle w:val="52"/>
      <w:suff w:val="nothing"/>
      <w:lvlText w:val="%1%2.%3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3" w:tentative="0">
      <w:start w:val="1"/>
      <w:numFmt w:val="decimal"/>
      <w:pStyle w:val="53"/>
      <w:suff w:val="nothing"/>
      <w:lvlText w:val="%1%2.%3.%4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4" w:tentative="0">
      <w:start w:val="1"/>
      <w:numFmt w:val="decimal"/>
      <w:pStyle w:val="54"/>
      <w:suff w:val="nothing"/>
      <w:lvlText w:val="%1%2.%3.%4.%5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5" w:tentative="0">
      <w:start w:val="1"/>
      <w:numFmt w:val="decimal"/>
      <w:pStyle w:val="55"/>
      <w:suff w:val="nothing"/>
      <w:lvlText w:val="%1%2.%3.%4.%5.%6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6" w:tentative="0">
      <w:start w:val="1"/>
      <w:numFmt w:val="decimal"/>
      <w:pStyle w:val="57"/>
      <w:suff w:val="nothing"/>
      <w:lvlText w:val="%1%2.%3.%4.%5.%6.%7　"/>
      <w:lvlJc w:val="left"/>
      <w:rPr>
        <w:rFonts w:hint="eastAsia" w:ascii="黑体" w:hAnsi="Times New Roman" w:eastAsia="黑体"/>
        <w:b w:val="0"/>
        <w:bCs w:val="0"/>
        <w:i w:val="0"/>
        <w:iCs w:val="0"/>
        <w:sz w:val="21"/>
        <w:szCs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5">
    <w:nsid w:val="76933334"/>
    <w:multiLevelType w:val="multilevel"/>
    <w:tmpl w:val="76933334"/>
    <w:lvl w:ilvl="0" w:tentative="0">
      <w:start w:val="1"/>
      <w:numFmt w:val="none"/>
      <w:pStyle w:val="58"/>
      <w:lvlText w:val="%1——"/>
      <w:lvlJc w:val="left"/>
      <w:pPr>
        <w:tabs>
          <w:tab w:val="left" w:pos="907"/>
        </w:tabs>
        <w:ind w:left="964" w:hanging="544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55E5"/>
    <w:rsid w:val="000812F5"/>
    <w:rsid w:val="000B6A3A"/>
    <w:rsid w:val="000D1D45"/>
    <w:rsid w:val="000E18FA"/>
    <w:rsid w:val="00147059"/>
    <w:rsid w:val="00166DEE"/>
    <w:rsid w:val="00172A27"/>
    <w:rsid w:val="00176DA4"/>
    <w:rsid w:val="001902C4"/>
    <w:rsid w:val="001B1F91"/>
    <w:rsid w:val="001E1399"/>
    <w:rsid w:val="001E6D52"/>
    <w:rsid w:val="001F0EBA"/>
    <w:rsid w:val="001F0EDE"/>
    <w:rsid w:val="001F0FE5"/>
    <w:rsid w:val="001F6EE8"/>
    <w:rsid w:val="00201AF7"/>
    <w:rsid w:val="0020209A"/>
    <w:rsid w:val="00212210"/>
    <w:rsid w:val="00214F50"/>
    <w:rsid w:val="00254C36"/>
    <w:rsid w:val="002D1393"/>
    <w:rsid w:val="0030687F"/>
    <w:rsid w:val="00307A44"/>
    <w:rsid w:val="00330518"/>
    <w:rsid w:val="00330CD5"/>
    <w:rsid w:val="00342F3B"/>
    <w:rsid w:val="003548B6"/>
    <w:rsid w:val="003558E7"/>
    <w:rsid w:val="00372252"/>
    <w:rsid w:val="00382876"/>
    <w:rsid w:val="003866F1"/>
    <w:rsid w:val="0039231B"/>
    <w:rsid w:val="003A026B"/>
    <w:rsid w:val="003F3F20"/>
    <w:rsid w:val="00415CCC"/>
    <w:rsid w:val="00454FBC"/>
    <w:rsid w:val="0045592A"/>
    <w:rsid w:val="00467B22"/>
    <w:rsid w:val="0047401E"/>
    <w:rsid w:val="004801F8"/>
    <w:rsid w:val="00482FE2"/>
    <w:rsid w:val="00490F84"/>
    <w:rsid w:val="00520913"/>
    <w:rsid w:val="00537D9F"/>
    <w:rsid w:val="00553AF1"/>
    <w:rsid w:val="00580941"/>
    <w:rsid w:val="00593B33"/>
    <w:rsid w:val="005D1DE9"/>
    <w:rsid w:val="005D5D94"/>
    <w:rsid w:val="005E1CE9"/>
    <w:rsid w:val="00604925"/>
    <w:rsid w:val="006063EF"/>
    <w:rsid w:val="006213AB"/>
    <w:rsid w:val="00626F37"/>
    <w:rsid w:val="00653FF3"/>
    <w:rsid w:val="00661BC0"/>
    <w:rsid w:val="006766A3"/>
    <w:rsid w:val="006E7AAD"/>
    <w:rsid w:val="0070408D"/>
    <w:rsid w:val="007153A8"/>
    <w:rsid w:val="00720D38"/>
    <w:rsid w:val="007408F2"/>
    <w:rsid w:val="0076561F"/>
    <w:rsid w:val="0079008D"/>
    <w:rsid w:val="007A474A"/>
    <w:rsid w:val="007C575A"/>
    <w:rsid w:val="00800622"/>
    <w:rsid w:val="00807910"/>
    <w:rsid w:val="00816C90"/>
    <w:rsid w:val="008256A8"/>
    <w:rsid w:val="00826FC6"/>
    <w:rsid w:val="0084425F"/>
    <w:rsid w:val="00881D04"/>
    <w:rsid w:val="00894E66"/>
    <w:rsid w:val="008C7D24"/>
    <w:rsid w:val="009110DD"/>
    <w:rsid w:val="0091156A"/>
    <w:rsid w:val="0091688D"/>
    <w:rsid w:val="00916C54"/>
    <w:rsid w:val="009470EE"/>
    <w:rsid w:val="00967030"/>
    <w:rsid w:val="009A2919"/>
    <w:rsid w:val="009A644F"/>
    <w:rsid w:val="009A65D0"/>
    <w:rsid w:val="009B70C3"/>
    <w:rsid w:val="009E1959"/>
    <w:rsid w:val="009E624C"/>
    <w:rsid w:val="009F28C3"/>
    <w:rsid w:val="00A44288"/>
    <w:rsid w:val="00AB79D6"/>
    <w:rsid w:val="00AC5E08"/>
    <w:rsid w:val="00AE02F3"/>
    <w:rsid w:val="00AE2CE1"/>
    <w:rsid w:val="00B06FAB"/>
    <w:rsid w:val="00B21C6C"/>
    <w:rsid w:val="00B34794"/>
    <w:rsid w:val="00B504FF"/>
    <w:rsid w:val="00B94543"/>
    <w:rsid w:val="00BC686F"/>
    <w:rsid w:val="00BC7506"/>
    <w:rsid w:val="00BD1D61"/>
    <w:rsid w:val="00C14FEF"/>
    <w:rsid w:val="00C26540"/>
    <w:rsid w:val="00C2757C"/>
    <w:rsid w:val="00C35A1C"/>
    <w:rsid w:val="00C53EAB"/>
    <w:rsid w:val="00C575D6"/>
    <w:rsid w:val="00C765E3"/>
    <w:rsid w:val="00CB595E"/>
    <w:rsid w:val="00CC3C85"/>
    <w:rsid w:val="00CC4210"/>
    <w:rsid w:val="00CD35B3"/>
    <w:rsid w:val="00CF0893"/>
    <w:rsid w:val="00D444B6"/>
    <w:rsid w:val="00D61EE1"/>
    <w:rsid w:val="00D65869"/>
    <w:rsid w:val="00D85372"/>
    <w:rsid w:val="00DD1A02"/>
    <w:rsid w:val="00DD73C5"/>
    <w:rsid w:val="00DE3D26"/>
    <w:rsid w:val="00E2758E"/>
    <w:rsid w:val="00E332C4"/>
    <w:rsid w:val="00EB3FBB"/>
    <w:rsid w:val="00EC09C0"/>
    <w:rsid w:val="00EC27DD"/>
    <w:rsid w:val="00EE0B2D"/>
    <w:rsid w:val="00EF7500"/>
    <w:rsid w:val="00F3086E"/>
    <w:rsid w:val="00F50040"/>
    <w:rsid w:val="00F94A49"/>
    <w:rsid w:val="00FC59D9"/>
    <w:rsid w:val="00FC6462"/>
    <w:rsid w:val="00FE3480"/>
    <w:rsid w:val="018F5C04"/>
    <w:rsid w:val="01D756B5"/>
    <w:rsid w:val="0281035B"/>
    <w:rsid w:val="03B13897"/>
    <w:rsid w:val="04DD3C7E"/>
    <w:rsid w:val="063A020B"/>
    <w:rsid w:val="08927022"/>
    <w:rsid w:val="0947427F"/>
    <w:rsid w:val="0A834144"/>
    <w:rsid w:val="0A903BC8"/>
    <w:rsid w:val="0AB34A18"/>
    <w:rsid w:val="0ADA2ED6"/>
    <w:rsid w:val="0EA922EA"/>
    <w:rsid w:val="0FA85A0B"/>
    <w:rsid w:val="100E1FC9"/>
    <w:rsid w:val="10D3229D"/>
    <w:rsid w:val="10DA45EB"/>
    <w:rsid w:val="11513A1F"/>
    <w:rsid w:val="12691182"/>
    <w:rsid w:val="15C429EC"/>
    <w:rsid w:val="18790FEA"/>
    <w:rsid w:val="1C1C44CA"/>
    <w:rsid w:val="26161A52"/>
    <w:rsid w:val="2C3A644F"/>
    <w:rsid w:val="2CE4580F"/>
    <w:rsid w:val="2D224144"/>
    <w:rsid w:val="2D4959EF"/>
    <w:rsid w:val="2E1155BE"/>
    <w:rsid w:val="2EF07E0F"/>
    <w:rsid w:val="33D726C5"/>
    <w:rsid w:val="34256884"/>
    <w:rsid w:val="366B11A2"/>
    <w:rsid w:val="398334D3"/>
    <w:rsid w:val="3ACA22B9"/>
    <w:rsid w:val="424F099D"/>
    <w:rsid w:val="42E65245"/>
    <w:rsid w:val="48D91909"/>
    <w:rsid w:val="49D81A90"/>
    <w:rsid w:val="4A890DB7"/>
    <w:rsid w:val="4B3611D1"/>
    <w:rsid w:val="4B9A5369"/>
    <w:rsid w:val="52A87CB7"/>
    <w:rsid w:val="53DA389F"/>
    <w:rsid w:val="56AD5B66"/>
    <w:rsid w:val="570C5732"/>
    <w:rsid w:val="58171A4D"/>
    <w:rsid w:val="58957C6F"/>
    <w:rsid w:val="58980823"/>
    <w:rsid w:val="5D611AE6"/>
    <w:rsid w:val="63C10807"/>
    <w:rsid w:val="67460858"/>
    <w:rsid w:val="6C0A5C4B"/>
    <w:rsid w:val="6CC61311"/>
    <w:rsid w:val="6F282892"/>
    <w:rsid w:val="714E0AD1"/>
    <w:rsid w:val="71A4445D"/>
    <w:rsid w:val="72BD36F2"/>
    <w:rsid w:val="72DD7906"/>
    <w:rsid w:val="73DE4949"/>
    <w:rsid w:val="74C02C7C"/>
    <w:rsid w:val="74CE2608"/>
    <w:rsid w:val="74E84006"/>
    <w:rsid w:val="754E1D76"/>
    <w:rsid w:val="75A50180"/>
    <w:rsid w:val="76872579"/>
    <w:rsid w:val="7B9A1E71"/>
    <w:rsid w:val="7EBB27A4"/>
    <w:rsid w:val="7EC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99" w:semiHidden="0" w:name="heading 2" w:locked="1"/>
    <w:lsdException w:qFormat="1" w:unhideWhenUsed="0" w:uiPriority="9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99" w:semiHidden="0" w:name="toc 1"/>
    <w:lsdException w:qFormat="1" w:uiPriority="99" w:semiHidden="0" w:name="toc 2"/>
    <w:lsdException w:uiPriority="9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42"/>
    <w:qFormat/>
    <w:locked/>
    <w:uiPriority w:val="99"/>
    <w:pPr>
      <w:spacing w:before="1"/>
      <w:ind w:left="904"/>
      <w:outlineLvl w:val="0"/>
    </w:pPr>
    <w:rPr>
      <w:b/>
      <w:bCs/>
      <w:sz w:val="32"/>
      <w:szCs w:val="32"/>
    </w:rPr>
  </w:style>
  <w:style w:type="paragraph" w:styleId="3">
    <w:name w:val="heading 2"/>
    <w:basedOn w:val="1"/>
    <w:next w:val="1"/>
    <w:link w:val="30"/>
    <w:unhideWhenUsed/>
    <w:qFormat/>
    <w:locked/>
    <w:uiPriority w:val="9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41"/>
    <w:qFormat/>
    <w:locked/>
    <w:uiPriority w:val="9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5">
    <w:name w:val="heading 4"/>
    <w:basedOn w:val="1"/>
    <w:next w:val="1"/>
    <w:link w:val="31"/>
    <w:semiHidden/>
    <w:unhideWhenUsed/>
    <w:qFormat/>
    <w:locked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46"/>
    <w:semiHidden/>
    <w:uiPriority w:val="99"/>
    <w:rPr>
      <w:rFonts w:ascii="宋体" w:hAnsi="Calibri" w:cs="宋体"/>
      <w:sz w:val="18"/>
      <w:szCs w:val="18"/>
    </w:rPr>
  </w:style>
  <w:style w:type="paragraph" w:styleId="7">
    <w:name w:val="Body Text"/>
    <w:basedOn w:val="1"/>
    <w:link w:val="47"/>
    <w:qFormat/>
    <w:uiPriority w:val="99"/>
    <w:pPr>
      <w:ind w:left="258"/>
    </w:pPr>
    <w:rPr>
      <w:sz w:val="32"/>
      <w:szCs w:val="32"/>
    </w:rPr>
  </w:style>
  <w:style w:type="paragraph" w:styleId="8">
    <w:name w:val="toc 3"/>
    <w:basedOn w:val="1"/>
    <w:next w:val="1"/>
    <w:unhideWhenUsed/>
    <w:uiPriority w:val="99"/>
    <w:pPr>
      <w:ind w:left="840" w:leftChars="400"/>
    </w:pPr>
    <w:rPr>
      <w:rFonts w:ascii="Calibri" w:hAnsi="Calibri"/>
      <w:szCs w:val="22"/>
    </w:rPr>
  </w:style>
  <w:style w:type="paragraph" w:styleId="9">
    <w:name w:val="Date"/>
    <w:basedOn w:val="1"/>
    <w:next w:val="1"/>
    <w:link w:val="23"/>
    <w:qFormat/>
    <w:uiPriority w:val="99"/>
    <w:pPr>
      <w:ind w:left="100" w:leftChars="2500"/>
    </w:pPr>
  </w:style>
  <w:style w:type="paragraph" w:styleId="10">
    <w:name w:val="Balloon Text"/>
    <w:basedOn w:val="1"/>
    <w:link w:val="24"/>
    <w:qFormat/>
    <w:uiPriority w:val="99"/>
    <w:rPr>
      <w:sz w:val="18"/>
      <w:szCs w:val="18"/>
    </w:rPr>
  </w:style>
  <w:style w:type="paragraph" w:styleId="11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99"/>
    <w:rPr>
      <w:rFonts w:ascii="Calibri" w:hAnsi="Calibri"/>
      <w:szCs w:val="22"/>
    </w:rPr>
  </w:style>
  <w:style w:type="paragraph" w:styleId="14">
    <w:name w:val="toc 2"/>
    <w:basedOn w:val="1"/>
    <w:next w:val="1"/>
    <w:unhideWhenUsed/>
    <w:qFormat/>
    <w:uiPriority w:val="99"/>
    <w:pPr>
      <w:ind w:left="420" w:leftChars="200"/>
    </w:pPr>
    <w:rPr>
      <w:rFonts w:ascii="Calibri" w:hAnsi="Calibri"/>
      <w:szCs w:val="22"/>
    </w:rPr>
  </w:style>
  <w:style w:type="paragraph" w:styleId="15">
    <w:name w:val="HTML Preformatted"/>
    <w:basedOn w:val="1"/>
    <w:link w:val="27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8">
    <w:name w:val="Table Grid"/>
    <w:basedOn w:val="17"/>
    <w:qFormat/>
    <w:uiPriority w:val="5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0">
    <w:name w:val="Strong"/>
    <w:basedOn w:val="19"/>
    <w:qFormat/>
    <w:locked/>
    <w:uiPriority w:val="22"/>
    <w:rPr>
      <w:b/>
      <w:bCs/>
    </w:rPr>
  </w:style>
  <w:style w:type="character" w:styleId="21">
    <w:name w:val="page number"/>
    <w:uiPriority w:val="99"/>
    <w:rPr>
      <w:rFonts w:ascii="Times New Roman" w:hAnsi="Times New Roman" w:eastAsia="宋体" w:cs="Times New Roman"/>
      <w:sz w:val="18"/>
      <w:szCs w:val="18"/>
    </w:rPr>
  </w:style>
  <w:style w:type="character" w:styleId="22">
    <w:name w:val="Hyperlink"/>
    <w:basedOn w:val="19"/>
    <w:unhideWhenUsed/>
    <w:qFormat/>
    <w:uiPriority w:val="99"/>
    <w:rPr>
      <w:color w:val="0000FF"/>
      <w:u w:val="single"/>
    </w:rPr>
  </w:style>
  <w:style w:type="character" w:customStyle="1" w:styleId="23">
    <w:name w:val="日期 Char"/>
    <w:basedOn w:val="19"/>
    <w:link w:val="9"/>
    <w:qFormat/>
    <w:uiPriority w:val="99"/>
    <w:rPr>
      <w:szCs w:val="21"/>
    </w:rPr>
  </w:style>
  <w:style w:type="character" w:customStyle="1" w:styleId="24">
    <w:name w:val="批注框文本 Char"/>
    <w:basedOn w:val="19"/>
    <w:link w:val="10"/>
    <w:qFormat/>
    <w:uiPriority w:val="99"/>
    <w:rPr>
      <w:sz w:val="0"/>
      <w:szCs w:val="0"/>
    </w:rPr>
  </w:style>
  <w:style w:type="character" w:customStyle="1" w:styleId="25">
    <w:name w:val="页脚 Char"/>
    <w:basedOn w:val="19"/>
    <w:link w:val="11"/>
    <w:qFormat/>
    <w:locked/>
    <w:uiPriority w:val="99"/>
    <w:rPr>
      <w:kern w:val="2"/>
      <w:sz w:val="18"/>
      <w:szCs w:val="18"/>
    </w:rPr>
  </w:style>
  <w:style w:type="character" w:customStyle="1" w:styleId="26">
    <w:name w:val="页眉 Char"/>
    <w:basedOn w:val="19"/>
    <w:link w:val="12"/>
    <w:qFormat/>
    <w:locked/>
    <w:uiPriority w:val="99"/>
    <w:rPr>
      <w:kern w:val="2"/>
      <w:sz w:val="18"/>
      <w:szCs w:val="18"/>
    </w:rPr>
  </w:style>
  <w:style w:type="character" w:customStyle="1" w:styleId="27">
    <w:name w:val="HTML 预设格式 Char"/>
    <w:basedOn w:val="19"/>
    <w:link w:val="15"/>
    <w:qFormat/>
    <w:uiPriority w:val="99"/>
    <w:rPr>
      <w:rFonts w:ascii="Courier New" w:hAnsi="Courier New" w:cs="Courier New"/>
      <w:sz w:val="20"/>
      <w:szCs w:val="20"/>
    </w:rPr>
  </w:style>
  <w:style w:type="paragraph" w:customStyle="1" w:styleId="28">
    <w:name w:val="Table Paragraph"/>
    <w:basedOn w:val="1"/>
    <w:qFormat/>
    <w:uiPriority w:val="1"/>
    <w:rPr>
      <w:rFonts w:ascii="宋体" w:hAnsi="宋体" w:cs="宋体"/>
    </w:rPr>
  </w:style>
  <w:style w:type="table" w:customStyle="1" w:styleId="2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标题 2 Char"/>
    <w:basedOn w:val="19"/>
    <w:link w:val="3"/>
    <w:qFormat/>
    <w:uiPriority w:val="9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1">
    <w:name w:val="标题 4 Char"/>
    <w:basedOn w:val="19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2">
    <w:name w:val="jiathis_txt"/>
    <w:basedOn w:val="19"/>
    <w:qFormat/>
    <w:uiPriority w:val="0"/>
  </w:style>
  <w:style w:type="character" w:customStyle="1" w:styleId="33">
    <w:name w:val="yi"/>
    <w:basedOn w:val="19"/>
    <w:qFormat/>
    <w:uiPriority w:val="0"/>
  </w:style>
  <w:style w:type="character" w:customStyle="1" w:styleId="34">
    <w:name w:val="hover"/>
    <w:basedOn w:val="19"/>
    <w:qFormat/>
    <w:uiPriority w:val="0"/>
  </w:style>
  <w:style w:type="paragraph" w:customStyle="1" w:styleId="35">
    <w:name w:val="HTML Top of Form"/>
    <w:basedOn w:val="1"/>
    <w:next w:val="1"/>
    <w:link w:val="36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36">
    <w:name w:val="z-窗体顶端 Char"/>
    <w:basedOn w:val="19"/>
    <w:link w:val="35"/>
    <w:semiHidden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37">
    <w:name w:val="HTML Bottom of Form"/>
    <w:basedOn w:val="1"/>
    <w:next w:val="1"/>
    <w:link w:val="38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38">
    <w:name w:val="z-窗体底端 Char"/>
    <w:basedOn w:val="19"/>
    <w:link w:val="37"/>
    <w:semiHidden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39">
    <w:name w:val="moren"/>
    <w:basedOn w:val="19"/>
    <w:qFormat/>
    <w:uiPriority w:val="0"/>
  </w:style>
  <w:style w:type="character" w:customStyle="1" w:styleId="40">
    <w:name w:val="huaguo"/>
    <w:basedOn w:val="19"/>
    <w:qFormat/>
    <w:uiPriority w:val="0"/>
  </w:style>
  <w:style w:type="character" w:customStyle="1" w:styleId="41">
    <w:name w:val="标题 3 Char"/>
    <w:basedOn w:val="19"/>
    <w:link w:val="4"/>
    <w:qFormat/>
    <w:uiPriority w:val="99"/>
    <w:rPr>
      <w:rFonts w:ascii="Calibri" w:hAnsi="Calibri"/>
      <w:b/>
      <w:bCs/>
      <w:kern w:val="2"/>
      <w:sz w:val="32"/>
      <w:szCs w:val="32"/>
    </w:rPr>
  </w:style>
  <w:style w:type="character" w:customStyle="1" w:styleId="42">
    <w:name w:val="标题 1 Char"/>
    <w:link w:val="2"/>
    <w:qFormat/>
    <w:uiPriority w:val="99"/>
    <w:rPr>
      <w:b/>
      <w:bCs/>
      <w:kern w:val="2"/>
      <w:sz w:val="32"/>
      <w:szCs w:val="32"/>
    </w:rPr>
  </w:style>
  <w:style w:type="paragraph" w:styleId="4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44">
    <w:name w:val="标题 2 字符"/>
    <w:qFormat/>
    <w:uiPriority w:val="9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paragraph" w:customStyle="1" w:styleId="45">
    <w:name w:val="TOC Heading"/>
    <w:basedOn w:val="2"/>
    <w:next w:val="1"/>
    <w:unhideWhenUsed/>
    <w:qFormat/>
    <w:uiPriority w:val="39"/>
    <w:pPr>
      <w:keepNext/>
      <w:keepLines/>
      <w:widowControl/>
      <w:spacing w:before="240" w:line="259" w:lineRule="auto"/>
      <w:ind w:left="0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46">
    <w:name w:val="文档结构图 Char"/>
    <w:basedOn w:val="19"/>
    <w:link w:val="6"/>
    <w:semiHidden/>
    <w:qFormat/>
    <w:uiPriority w:val="99"/>
    <w:rPr>
      <w:rFonts w:ascii="宋体" w:hAnsi="Calibri" w:cs="宋体"/>
      <w:kern w:val="2"/>
      <w:sz w:val="18"/>
      <w:szCs w:val="18"/>
    </w:rPr>
  </w:style>
  <w:style w:type="character" w:customStyle="1" w:styleId="47">
    <w:name w:val="正文文本 Char"/>
    <w:link w:val="7"/>
    <w:qFormat/>
    <w:locked/>
    <w:uiPriority w:val="99"/>
    <w:rPr>
      <w:kern w:val="2"/>
      <w:sz w:val="32"/>
      <w:szCs w:val="32"/>
    </w:rPr>
  </w:style>
  <w:style w:type="paragraph" w:customStyle="1" w:styleId="48">
    <w:name w:val="列出段落1"/>
    <w:basedOn w:val="1"/>
    <w:qFormat/>
    <w:uiPriority w:val="99"/>
    <w:pPr>
      <w:ind w:firstLine="420" w:firstLineChars="200"/>
    </w:pPr>
  </w:style>
  <w:style w:type="paragraph" w:customStyle="1" w:styleId="49">
    <w:name w:val="段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  <w:style w:type="paragraph" w:customStyle="1" w:styleId="50">
    <w:name w:val="前言、引言标题"/>
    <w:next w:val="1"/>
    <w:qFormat/>
    <w:uiPriority w:val="99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黑体"/>
      <w:sz w:val="32"/>
      <w:szCs w:val="32"/>
      <w:lang w:val="en-US" w:eastAsia="zh-CN" w:bidi="ar-SA"/>
    </w:rPr>
  </w:style>
  <w:style w:type="paragraph" w:customStyle="1" w:styleId="51">
    <w:name w:val="章标题"/>
    <w:next w:val="49"/>
    <w:qFormat/>
    <w:uiPriority w:val="99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黑体"/>
      <w:sz w:val="21"/>
      <w:szCs w:val="21"/>
      <w:lang w:val="en-US" w:eastAsia="zh-CN" w:bidi="ar-SA"/>
    </w:rPr>
  </w:style>
  <w:style w:type="paragraph" w:customStyle="1" w:styleId="52">
    <w:name w:val="一级条标题"/>
    <w:next w:val="49"/>
    <w:qFormat/>
    <w:uiPriority w:val="99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szCs w:val="21"/>
      <w:lang w:val="en-US" w:eastAsia="zh-CN" w:bidi="ar-SA"/>
    </w:rPr>
  </w:style>
  <w:style w:type="paragraph" w:customStyle="1" w:styleId="53">
    <w:name w:val="二级条标题"/>
    <w:basedOn w:val="52"/>
    <w:next w:val="49"/>
    <w:qFormat/>
    <w:uiPriority w:val="99"/>
    <w:pPr>
      <w:numPr>
        <w:ilvl w:val="3"/>
      </w:numPr>
      <w:outlineLvl w:val="3"/>
    </w:pPr>
  </w:style>
  <w:style w:type="paragraph" w:customStyle="1" w:styleId="54">
    <w:name w:val="三级条标题"/>
    <w:basedOn w:val="53"/>
    <w:next w:val="49"/>
    <w:qFormat/>
    <w:uiPriority w:val="99"/>
    <w:pPr>
      <w:numPr>
        <w:ilvl w:val="4"/>
      </w:numPr>
      <w:outlineLvl w:val="4"/>
    </w:pPr>
  </w:style>
  <w:style w:type="paragraph" w:customStyle="1" w:styleId="55">
    <w:name w:val="四级条标题"/>
    <w:basedOn w:val="54"/>
    <w:next w:val="49"/>
    <w:qFormat/>
    <w:uiPriority w:val="99"/>
    <w:pPr>
      <w:numPr>
        <w:ilvl w:val="5"/>
      </w:numPr>
      <w:outlineLvl w:val="5"/>
    </w:pPr>
  </w:style>
  <w:style w:type="character" w:customStyle="1" w:styleId="56">
    <w:name w:val="content1"/>
    <w:qFormat/>
    <w:uiPriority w:val="99"/>
    <w:rPr>
      <w:sz w:val="17"/>
      <w:szCs w:val="17"/>
    </w:rPr>
  </w:style>
  <w:style w:type="paragraph" w:customStyle="1" w:styleId="57">
    <w:name w:val="五级条标题"/>
    <w:basedOn w:val="55"/>
    <w:next w:val="49"/>
    <w:qFormat/>
    <w:uiPriority w:val="99"/>
    <w:pPr>
      <w:numPr>
        <w:ilvl w:val="6"/>
      </w:numPr>
      <w:outlineLvl w:val="6"/>
    </w:pPr>
  </w:style>
  <w:style w:type="paragraph" w:customStyle="1" w:styleId="58">
    <w:name w:val="列项——（一级）"/>
    <w:qFormat/>
    <w:uiPriority w:val="99"/>
    <w:pPr>
      <w:widowControl w:val="0"/>
      <w:numPr>
        <w:ilvl w:val="0"/>
        <w:numId w:val="2"/>
      </w:numPr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  <w:style w:type="paragraph" w:customStyle="1" w:styleId="59">
    <w:name w:val="TOC 标题1"/>
    <w:basedOn w:val="2"/>
    <w:next w:val="1"/>
    <w:qFormat/>
    <w:uiPriority w:val="99"/>
    <w:pPr>
      <w:keepNext/>
      <w:keepLines/>
      <w:widowControl/>
      <w:spacing w:before="480" w:line="276" w:lineRule="auto"/>
      <w:ind w:left="0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60">
    <w:name w:val="无间隔1"/>
    <w:link w:val="6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61">
    <w:name w:val="No Spacing Char"/>
    <w:link w:val="60"/>
    <w:qFormat/>
    <w:locked/>
    <w:uiPriority w:val="99"/>
    <w:rPr>
      <w:kern w:val="2"/>
      <w:sz w:val="21"/>
      <w:szCs w:val="21"/>
    </w:rPr>
  </w:style>
  <w:style w:type="character" w:customStyle="1" w:styleId="62">
    <w:name w:val="line-height"/>
    <w:basedOn w:val="19"/>
    <w:qFormat/>
    <w:uiPriority w:val="99"/>
  </w:style>
  <w:style w:type="paragraph" w:customStyle="1" w:styleId="63">
    <w:name w:val="Char"/>
    <w:basedOn w:val="1"/>
    <w:semiHidden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64">
    <w:name w:val="封面标准号2"/>
    <w:basedOn w:val="1"/>
    <w:qFormat/>
    <w:uiPriority w:val="99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8"/>
    </w:rPr>
  </w:style>
  <w:style w:type="paragraph" w:customStyle="1" w:styleId="65">
    <w:name w:val="实施日期"/>
    <w:basedOn w:val="1"/>
    <w:qFormat/>
    <w:uiPriority w:val="99"/>
    <w:pPr>
      <w:framePr w:w="4000" w:h="473" w:hRule="exact" w:vSpace="180" w:wrap="auto" w:vAnchor="margin" w:hAnchor="margin" w:xAlign="right" w:y="13511" w:anchorLock="1"/>
      <w:widowControl/>
      <w:ind w:left="2415" w:hanging="420"/>
      <w:jc w:val="right"/>
    </w:pPr>
    <w:rPr>
      <w:rFonts w:eastAsia="黑体"/>
      <w:kern w:val="0"/>
      <w:sz w:val="28"/>
      <w:szCs w:val="28"/>
    </w:rPr>
  </w:style>
  <w:style w:type="paragraph" w:customStyle="1" w:styleId="66">
    <w:name w:val="图表脚注"/>
    <w:next w:val="1"/>
    <w:qFormat/>
    <w:uiPriority w:val="99"/>
    <w:pPr>
      <w:spacing w:after="200" w:line="276" w:lineRule="auto"/>
      <w:ind w:left="200" w:leftChars="200" w:hanging="100" w:hangingChars="100"/>
      <w:jc w:val="both"/>
    </w:pPr>
    <w:rPr>
      <w:rFonts w:ascii="宋体" w:hAnsi="Calibri" w:eastAsia="宋体" w:cs="宋体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8EF445-E035-4691-A311-03999B7A92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54</Pages>
  <Words>4565</Words>
  <Characters>26022</Characters>
  <Lines>216</Lines>
  <Paragraphs>61</Paragraphs>
  <TotalTime>49</TotalTime>
  <ScaleCrop>false</ScaleCrop>
  <LinksUpToDate>false</LinksUpToDate>
  <CharactersWithSpaces>30526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2022-03-30T09:25:00Z</dcterms:created>
  <dc:creator>User</dc:creator>
  <cp:lastModifiedBy>朱昊</cp:lastModifiedBy>
  <cp:lastPrinted>2022-04-13T07:44:00Z</cp:lastPrinted>
  <dcterms:modified xsi:type="dcterms:W3CDTF">2022-04-14T09:08:37Z</dcterms:modified>
  <dc:title>关于召开2013年省装协工程分会会长会议的通知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339E1036A2F248CE939FD09A2820E0AB</vt:lpwstr>
  </property>
</Properties>
</file>